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858A9" w14:textId="5D4E6094" w:rsidR="007330B9" w:rsidRPr="00383D8F" w:rsidRDefault="00000000">
      <w:pPr>
        <w:pStyle w:val="Titolo1"/>
        <w:keepNext w:val="0"/>
        <w:keepLines w:val="0"/>
        <w:spacing w:before="480"/>
        <w:rPr>
          <w:lang w:val="en-US"/>
        </w:rPr>
      </w:pPr>
      <w:r w:rsidRPr="00383D8F">
        <w:rPr>
          <w:b/>
          <w:sz w:val="46"/>
          <w:szCs w:val="46"/>
          <w:lang w:val="en-US"/>
        </w:rPr>
        <w:t>CALL FOR POSTERS</w:t>
      </w:r>
    </w:p>
    <w:p w14:paraId="25DDF4C2" w14:textId="77777777" w:rsidR="007330B9" w:rsidRDefault="00000000">
      <w:pPr>
        <w:spacing w:before="240" w:after="240"/>
        <w:rPr>
          <w:b/>
          <w:sz w:val="34"/>
          <w:szCs w:val="34"/>
        </w:rPr>
      </w:pPr>
      <w:bookmarkStart w:id="0" w:name="_heading=h.ij83osqun4yt" w:colFirst="0" w:colLast="0"/>
      <w:bookmarkEnd w:id="0"/>
      <w:r w:rsidRPr="00383D8F">
        <w:rPr>
          <w:b/>
          <w:i/>
          <w:sz w:val="34"/>
          <w:szCs w:val="34"/>
          <w:lang w:val="en-US"/>
        </w:rPr>
        <w:t>Evidence based education</w:t>
      </w:r>
      <w:r w:rsidRPr="00383D8F">
        <w:rPr>
          <w:b/>
          <w:sz w:val="34"/>
          <w:szCs w:val="34"/>
          <w:lang w:val="en-US"/>
        </w:rPr>
        <w:t xml:space="preserve"> e </w:t>
      </w:r>
      <w:proofErr w:type="spellStart"/>
      <w:r w:rsidRPr="00383D8F">
        <w:rPr>
          <w:b/>
          <w:sz w:val="34"/>
          <w:szCs w:val="34"/>
          <w:lang w:val="en-US"/>
        </w:rPr>
        <w:t>didattica</w:t>
      </w:r>
      <w:proofErr w:type="spellEnd"/>
      <w:r w:rsidRPr="00383D8F">
        <w:rPr>
          <w:b/>
          <w:sz w:val="34"/>
          <w:szCs w:val="34"/>
          <w:lang w:val="en-US"/>
        </w:rPr>
        <w:t xml:space="preserve"> </w:t>
      </w:r>
      <w:proofErr w:type="spellStart"/>
      <w:r w:rsidRPr="00383D8F">
        <w:rPr>
          <w:b/>
          <w:sz w:val="34"/>
          <w:szCs w:val="34"/>
          <w:lang w:val="en-US"/>
        </w:rPr>
        <w:t>universitaria</w:t>
      </w:r>
      <w:proofErr w:type="spellEnd"/>
      <w:r w:rsidRPr="00383D8F">
        <w:rPr>
          <w:b/>
          <w:sz w:val="34"/>
          <w:szCs w:val="34"/>
          <w:lang w:val="en-US"/>
        </w:rPr>
        <w:t xml:space="preserve">. </w:t>
      </w:r>
      <w:r>
        <w:rPr>
          <w:b/>
          <w:sz w:val="34"/>
          <w:szCs w:val="34"/>
        </w:rPr>
        <w:t>Teorie, metodi e strumenti per la Qualità dell'Inclusione e dell'Innovazione.</w:t>
      </w:r>
    </w:p>
    <w:p w14:paraId="4F037424" w14:textId="77777777" w:rsidR="007330B9" w:rsidRDefault="00000000">
      <w:pPr>
        <w:spacing w:before="240" w:after="240"/>
        <w:rPr>
          <w:b/>
        </w:rPr>
      </w:pPr>
      <w:r>
        <w:rPr>
          <w:b/>
        </w:rPr>
        <w:t xml:space="preserve">19 settembre 2025 - Villa Mirafiori, Via Carlo </w:t>
      </w:r>
      <w:proofErr w:type="spellStart"/>
      <w:r>
        <w:rPr>
          <w:b/>
        </w:rPr>
        <w:t>Fea</w:t>
      </w:r>
      <w:proofErr w:type="spellEnd"/>
      <w:r>
        <w:rPr>
          <w:b/>
        </w:rPr>
        <w:t xml:space="preserve"> 2, Roma</w:t>
      </w:r>
    </w:p>
    <w:p w14:paraId="528B75B9" w14:textId="77777777" w:rsidR="007330B9" w:rsidRDefault="00000000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L'università affronta sfide sempre più complesse nel panorama educativo contemporaneo.  Tra queste, vi è la necessità di garantire un'istruzione superiore inclusiva e di qualità, tale da offrire un’esperienza accademica di alto livello e formare laureati altamente qualificati (ANVUR, 2023; Biggs &amp; Tang, 2022; EHEA, 2020; Felisatti &amp; Perla, 2023). La centralità del processo di insegnamento-apprendimento nei percorsi universitari (</w:t>
      </w:r>
      <w:proofErr w:type="spellStart"/>
      <w:r>
        <w:t>European</w:t>
      </w:r>
      <w:proofErr w:type="spellEnd"/>
      <w:r>
        <w:t xml:space="preserve"> Commission, 2013) richiede di sviluppare nei docenti competenze didattiche di qualità (Commissione Europea, 2010), al fine di incrementare l’efficacia dell’esperienza formativa di studenti e studentesse, in linea con la missione dello Spazio Europeo dell’Istruzione Superiore (EHEA, 2015). </w:t>
      </w:r>
    </w:p>
    <w:p w14:paraId="10AB88F2" w14:textId="5CC62A21" w:rsidR="007330B9" w:rsidRDefault="00000000">
      <w:pPr>
        <w:spacing w:after="240"/>
        <w:jc w:val="both"/>
      </w:pPr>
      <w:r>
        <w:t xml:space="preserve">La promozione della qualità della didattica si intreccia con il principio dell’inclusione in ambito formativo, oggi considerato cruciale anche per le politiche accademiche (ANVUR, 2023; EHEA, 2020; </w:t>
      </w:r>
      <w:proofErr w:type="spellStart"/>
      <w:r>
        <w:t>European</w:t>
      </w:r>
      <w:proofErr w:type="spellEnd"/>
      <w:r>
        <w:t xml:space="preserve"> Commission, 2013)</w:t>
      </w:r>
      <w:r w:rsidR="00383D8F">
        <w:t>. I</w:t>
      </w:r>
      <w:r>
        <w:t>n particolare</w:t>
      </w:r>
      <w:r w:rsidR="00383D8F">
        <w:t xml:space="preserve">: </w:t>
      </w:r>
      <w:r>
        <w:t xml:space="preserve">l’UNESCO, nella </w:t>
      </w:r>
      <w:r>
        <w:rPr>
          <w:i/>
        </w:rPr>
        <w:t xml:space="preserve">Global Convention on the </w:t>
      </w:r>
      <w:proofErr w:type="spellStart"/>
      <w:r>
        <w:rPr>
          <w:i/>
        </w:rPr>
        <w:t>Recognition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Qualifications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concerning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Higher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t xml:space="preserve"> (2019), </w:t>
      </w:r>
      <w:r w:rsidR="00383D8F">
        <w:t xml:space="preserve">ha </w:t>
      </w:r>
      <w:r>
        <w:t>prom</w:t>
      </w:r>
      <w:r w:rsidR="00383D8F">
        <w:t>osso</w:t>
      </w:r>
      <w:r>
        <w:t xml:space="preserve">, attraverso il riconoscimento delle qualifiche, l’equità e la rimozione delle barriere all’attività e alla partecipazione (WHO, 2001, 2017) nell’istruzione superiore; </w:t>
      </w:r>
      <w:r w:rsidR="00383D8F">
        <w:t xml:space="preserve">le Nazioni Unite, con </w:t>
      </w:r>
      <w:r>
        <w:t>l’Obiettivo 4 dell’Agenda 2030</w:t>
      </w:r>
      <w:r w:rsidR="00383D8F">
        <w:t xml:space="preserve">, hanno </w:t>
      </w:r>
      <w:r>
        <w:t>sottolinea</w:t>
      </w:r>
      <w:r w:rsidR="00383D8F">
        <w:t>to</w:t>
      </w:r>
      <w:r>
        <w:t xml:space="preserve"> l’importanza di assicurare un’educazione di qualità, equa e inclusiva lungo tutto l’arco della vita; l’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Higher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 Area</w:t>
      </w:r>
      <w:r>
        <w:t xml:space="preserve"> (2020) </w:t>
      </w:r>
      <w:r w:rsidR="00383D8F">
        <w:t xml:space="preserve">ha </w:t>
      </w:r>
      <w:r>
        <w:t>sos</w:t>
      </w:r>
      <w:r w:rsidR="00383D8F">
        <w:t>tenuto</w:t>
      </w:r>
      <w:r>
        <w:t xml:space="preserve"> la centralità dell’ inclusione </w:t>
      </w:r>
      <w:r w:rsidR="00383D8F">
        <w:t>quale</w:t>
      </w:r>
      <w:r>
        <w:t xml:space="preserve"> valore fondante dello spazio universitario europeo, con </w:t>
      </w:r>
      <w:r w:rsidR="00383D8F">
        <w:t>ricadute</w:t>
      </w:r>
      <w:r>
        <w:t xml:space="preserve"> dirette sulla dimensione culturale, politica e formativa degli Atenei</w:t>
      </w:r>
      <w:r w:rsidR="00383D8F">
        <w:t xml:space="preserve"> e il </w:t>
      </w:r>
      <w:r>
        <w:t>riferimento ai curricula e alle metodologie didattiche, tali da abbracciare una visione più ampia di giustizia educativa che riconosce e valorizza la diversità in tutte le sue forme (Florian &amp; Black-Hawkins, 2011; UNESCO, 2017)</w:t>
      </w:r>
      <w:r w:rsidR="00383D8F">
        <w:t>; l’</w:t>
      </w:r>
      <w:r>
        <w:rPr>
          <w:i/>
        </w:rPr>
        <w:t>Universal Design for Learning</w:t>
      </w:r>
      <w:r>
        <w:t xml:space="preserve"> (CAST, 2024) offre un framework teorico-applicativo per progettare ambienti di apprendimento in grado di promuovere l’agency di studenti e studentesse, implementando skills propositive, riflessive, proattive e strategiche che consentano di maturare le capacità di orientare la propria azione al fine di partecipare attivamente alla costruzione del proprio progetto di vita (Rizzo &amp; Traversetti, 2024), indipendentemente dalle caratteristiche individuali (Meyer et al., 2014; Rose &amp; Meyer, 2002).</w:t>
      </w:r>
    </w:p>
    <w:p w14:paraId="1FB16516" w14:textId="38DEAEE2" w:rsidR="007330B9" w:rsidRDefault="00000000">
      <w:pPr>
        <w:spacing w:after="240"/>
        <w:jc w:val="both"/>
      </w:pPr>
      <w:r>
        <w:t>In un simile quadro epistemologico, un contesto universitario realmente inclusivo si determina e si esplicita in ragione dell’interazione che si instaura tra le peculiarità della persona (età, genere, background sociale, storia di vita) e quelle dell’ambiente (struttura e funzioni degli spazi, atteggiamenti di studenti e docenti,  strumenti tecnologici e non, strategie didattiche). L’importanza d</w:t>
      </w:r>
      <w:r w:rsidR="00383D8F">
        <w:t xml:space="preserve">ei </w:t>
      </w:r>
      <w:r>
        <w:t xml:space="preserve">fattori ambientali deriva, infatti, dall’effetto che producono agendo come facilitatori o barriere all’attività e partecipazione alla vita universitaria. A tal fine, le prassi </w:t>
      </w:r>
      <w:r>
        <w:lastRenderedPageBreak/>
        <w:t xml:space="preserve">didattiche di qualità trovano una felice realizzazione all’interno di dinamiche di insegnamento/apprendimento che si nutrono dei costrutti dell’inclusione e dei risultati dell’innovazione, </w:t>
      </w:r>
      <w:r w:rsidR="00383D8F">
        <w:t xml:space="preserve">e che </w:t>
      </w:r>
      <w:r>
        <w:t>ten</w:t>
      </w:r>
      <w:r w:rsidR="00383D8F">
        <w:t>gon</w:t>
      </w:r>
      <w:r>
        <w:t xml:space="preserve">o </w:t>
      </w:r>
      <w:r w:rsidR="00383D8F">
        <w:t xml:space="preserve">in debito </w:t>
      </w:r>
      <w:r>
        <w:t xml:space="preserve">conto gli esiti provenienti dalla ricerca </w:t>
      </w:r>
      <w:proofErr w:type="spellStart"/>
      <w:r>
        <w:rPr>
          <w:i/>
        </w:rPr>
        <w:t>Evidence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t>.</w:t>
      </w:r>
    </w:p>
    <w:p w14:paraId="737FC72B" w14:textId="77777777" w:rsidR="007330B9" w:rsidRDefault="00000000">
      <w:pPr>
        <w:spacing w:after="240"/>
        <w:jc w:val="both"/>
      </w:pPr>
      <w:r>
        <w:t>Alla luce delle implicazioni culturali e metodologiche delineate, la call accoglie poster sul tema della didattica universitaria inclusiva e innovativa, e in particolare:</w:t>
      </w:r>
    </w:p>
    <w:p w14:paraId="0808B615" w14:textId="77777777" w:rsidR="007330B9" w:rsidRDefault="00000000">
      <w:pPr>
        <w:numPr>
          <w:ilvl w:val="0"/>
          <w:numId w:val="4"/>
        </w:numPr>
        <w:spacing w:before="240"/>
      </w:pPr>
      <w:r>
        <w:t>Ricerche empiriche</w:t>
      </w:r>
    </w:p>
    <w:p w14:paraId="513E080A" w14:textId="77777777" w:rsidR="007330B9" w:rsidRDefault="00000000">
      <w:pPr>
        <w:numPr>
          <w:ilvl w:val="0"/>
          <w:numId w:val="4"/>
        </w:numPr>
      </w:pPr>
      <w:r>
        <w:t>Esperienze innovative di didattica universitaria</w:t>
      </w:r>
    </w:p>
    <w:p w14:paraId="53C73B40" w14:textId="77777777" w:rsidR="007330B9" w:rsidRDefault="00000000">
      <w:pPr>
        <w:numPr>
          <w:ilvl w:val="0"/>
          <w:numId w:val="4"/>
        </w:numPr>
      </w:pPr>
      <w:r>
        <w:t>Revisioni sistematiche</w:t>
      </w:r>
    </w:p>
    <w:p w14:paraId="1D38FB5E" w14:textId="77777777" w:rsidR="007330B9" w:rsidRDefault="00000000">
      <w:pPr>
        <w:numPr>
          <w:ilvl w:val="0"/>
          <w:numId w:val="4"/>
        </w:numPr>
        <w:spacing w:after="240"/>
      </w:pPr>
      <w:r>
        <w:t>Contributi teorici</w:t>
      </w:r>
    </w:p>
    <w:p w14:paraId="2E0FF4F4" w14:textId="18481125" w:rsidR="007330B9" w:rsidRDefault="00000000">
      <w:pPr>
        <w:spacing w:before="240"/>
        <w:jc w:val="both"/>
      </w:pPr>
      <w:r>
        <w:t>La sessione poster ha l'obiettivo di dare risalto e visibilità alle diverse esperienze, ricerche e riflessioni teoriche presentate creando</w:t>
      </w:r>
      <w:r w:rsidR="00383D8F">
        <w:t xml:space="preserve"> </w:t>
      </w:r>
      <w:r>
        <w:t>uno spazio di confronto interdisciplinare</w:t>
      </w:r>
      <w:r w:rsidR="00383D8F">
        <w:t xml:space="preserve"> in cui </w:t>
      </w:r>
      <w:r>
        <w:t xml:space="preserve">possano dialogare proficuamente prassi e approcci metodologici. Un aspetto fondamentale </w:t>
      </w:r>
      <w:r w:rsidR="00383D8F">
        <w:t>si rileva</w:t>
      </w:r>
      <w:r>
        <w:t xml:space="preserve"> </w:t>
      </w:r>
      <w:r w:rsidR="00383D8F">
        <w:t>nel</w:t>
      </w:r>
      <w:r>
        <w:t xml:space="preserve">la promozione della conoscenza di strategie didattiche basate su evidenze scientifiche, impiegabili nel contesto dell'istruzione superiore, nonché </w:t>
      </w:r>
      <w:r w:rsidR="00383D8F">
        <w:t>nel</w:t>
      </w:r>
      <w:r>
        <w:t>la formazione professionale dei docenti universitari orientata allo sviluppo di pratiche inclusive, innovative ed efficaci.</w:t>
      </w:r>
    </w:p>
    <w:p w14:paraId="35350A23" w14:textId="76642E34" w:rsidR="007330B9" w:rsidRDefault="00000000">
      <w:pPr>
        <w:spacing w:before="240"/>
        <w:jc w:val="both"/>
      </w:pPr>
      <w:r>
        <w:t>La call si inserisce all’interno della cornice dell'evento "</w:t>
      </w:r>
      <w:proofErr w:type="spellStart"/>
      <w:r>
        <w:rPr>
          <w:i/>
        </w:rPr>
        <w:t>Evidence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t xml:space="preserve"> e didattica universitaria. Teorie, metodi e strumenti per la Qualità dell'Inclusione e dell'Innovazione", promosso dal gruppo Qualità e Innovazione Didattica (</w:t>
      </w:r>
      <w:proofErr w:type="spellStart"/>
      <w:r>
        <w:t>QuID</w:t>
      </w:r>
      <w:proofErr w:type="spellEnd"/>
      <w:r>
        <w:t xml:space="preserve">) </w:t>
      </w:r>
      <w:r w:rsidR="00F27711">
        <w:t xml:space="preserve">in </w:t>
      </w:r>
      <w:r w:rsidR="00157F25">
        <w:t xml:space="preserve">collaborazione </w:t>
      </w:r>
      <w:r w:rsidR="00F27711">
        <w:t>con il</w:t>
      </w:r>
      <w:r w:rsidR="00157F25">
        <w:t xml:space="preserve"> </w:t>
      </w:r>
      <w:proofErr w:type="spellStart"/>
      <w:r w:rsidR="00157F25">
        <w:t>Teaching</w:t>
      </w:r>
      <w:proofErr w:type="spellEnd"/>
      <w:r w:rsidR="00157F25">
        <w:t xml:space="preserve"> Learning Center</w:t>
      </w:r>
      <w:r w:rsidR="00F27711">
        <w:t xml:space="preserve"> (TLC)</w:t>
      </w:r>
      <w:r w:rsidR="00157F25">
        <w:t xml:space="preserve"> </w:t>
      </w:r>
      <w:r>
        <w:t xml:space="preserve">di Sapienza, Università di Roma, che si terrà il </w:t>
      </w:r>
      <w:r>
        <w:rPr>
          <w:b/>
        </w:rPr>
        <w:t>19 settembre 2025</w:t>
      </w:r>
      <w:r>
        <w:t xml:space="preserve"> presso la </w:t>
      </w:r>
      <w:r>
        <w:rPr>
          <w:b/>
        </w:rPr>
        <w:t xml:space="preserve">sede di Villa Mirafiori, via Carlo </w:t>
      </w:r>
      <w:proofErr w:type="spellStart"/>
      <w:r>
        <w:rPr>
          <w:b/>
        </w:rPr>
        <w:t>Fea</w:t>
      </w:r>
      <w:proofErr w:type="spellEnd"/>
      <w:r>
        <w:rPr>
          <w:b/>
        </w:rPr>
        <w:t xml:space="preserve"> 2</w:t>
      </w:r>
      <w:r>
        <w:t xml:space="preserve">; la partecipazione è gratuita. </w:t>
      </w:r>
    </w:p>
    <w:p w14:paraId="4ED29DDB" w14:textId="77777777" w:rsidR="007330B9" w:rsidRDefault="00000000">
      <w:pPr>
        <w:jc w:val="both"/>
      </w:pPr>
      <w:r>
        <w:t>La call si rivolge ad un'ampia comunità di professionisti e studiosi del mondo dell’istruzione e della formazione che condivide l'interesse per il miglioramento della qualità dell'insegnamento universitario e, in particolare, a: ricercatori e docenti universitari, dottorandi, assegnisti, studiosi del settore.</w:t>
      </w:r>
    </w:p>
    <w:p w14:paraId="00FEBCCB" w14:textId="77777777" w:rsidR="007330B9" w:rsidRDefault="007330B9">
      <w:pPr>
        <w:jc w:val="both"/>
        <w:rPr>
          <w:highlight w:val="yellow"/>
        </w:rPr>
      </w:pPr>
    </w:p>
    <w:p w14:paraId="479D703E" w14:textId="77777777" w:rsidR="007330B9" w:rsidRDefault="00000000">
      <w:pPr>
        <w:pStyle w:val="Titolo2"/>
        <w:keepNext w:val="0"/>
        <w:keepLines w:val="0"/>
        <w:spacing w:after="80"/>
        <w:rPr>
          <w:b/>
          <w:sz w:val="28"/>
          <w:szCs w:val="28"/>
        </w:rPr>
      </w:pPr>
      <w:bookmarkStart w:id="1" w:name="_heading=h.htfkngopwwp2" w:colFirst="0" w:colLast="0"/>
      <w:bookmarkEnd w:id="1"/>
      <w:r>
        <w:rPr>
          <w:b/>
          <w:sz w:val="28"/>
          <w:szCs w:val="28"/>
        </w:rPr>
        <w:t>Aree tematiche</w:t>
      </w:r>
    </w:p>
    <w:p w14:paraId="7DE7D2B6" w14:textId="77777777" w:rsidR="007330B9" w:rsidRDefault="00000000">
      <w:pPr>
        <w:spacing w:before="240" w:after="240"/>
      </w:pPr>
      <w:r>
        <w:t>I contributi dovranno afferire a una o più delle seguenti aree tematiche:</w:t>
      </w:r>
    </w:p>
    <w:p w14:paraId="418B93C4" w14:textId="77777777" w:rsidR="007330B9" w:rsidRDefault="00000000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heading=h.msehi24nvtuf" w:colFirst="0" w:colLast="0"/>
      <w:bookmarkEnd w:id="2"/>
      <w:r>
        <w:rPr>
          <w:b/>
          <w:color w:val="000000"/>
          <w:sz w:val="26"/>
          <w:szCs w:val="26"/>
        </w:rPr>
        <w:t>1. Qualità della didattica nell'insegnamento universitario</w:t>
      </w:r>
    </w:p>
    <w:p w14:paraId="22B0A597" w14:textId="77777777" w:rsidR="007330B9" w:rsidRDefault="00000000">
      <w:pPr>
        <w:numPr>
          <w:ilvl w:val="0"/>
          <w:numId w:val="5"/>
        </w:numPr>
        <w:spacing w:before="240"/>
      </w:pPr>
      <w:r>
        <w:rPr>
          <w:i/>
        </w:rPr>
        <w:t>Universal Design for Learning</w:t>
      </w:r>
      <w:r>
        <w:t xml:space="preserve"> nell'educazione superiore</w:t>
      </w:r>
    </w:p>
    <w:p w14:paraId="6DCD4E18" w14:textId="77777777" w:rsidR="007330B9" w:rsidRDefault="00000000">
      <w:pPr>
        <w:numPr>
          <w:ilvl w:val="0"/>
          <w:numId w:val="5"/>
        </w:numPr>
      </w:pPr>
      <w:r>
        <w:t>Pratiche didattiche inclusive e innovative</w:t>
      </w:r>
    </w:p>
    <w:p w14:paraId="7839F06B" w14:textId="77777777" w:rsidR="007330B9" w:rsidRDefault="00000000">
      <w:pPr>
        <w:numPr>
          <w:ilvl w:val="0"/>
          <w:numId w:val="8"/>
        </w:numPr>
      </w:pPr>
      <w:r>
        <w:t>Metodologie di ricerca in didattica universitaria</w:t>
      </w:r>
    </w:p>
    <w:p w14:paraId="61C922E5" w14:textId="77777777" w:rsidR="007330B9" w:rsidRDefault="00000000">
      <w:pPr>
        <w:numPr>
          <w:ilvl w:val="0"/>
          <w:numId w:val="8"/>
        </w:numPr>
      </w:pPr>
      <w:r>
        <w:t>Valutazione dell'efficacia di pratiche didattiche innovative</w:t>
      </w:r>
    </w:p>
    <w:p w14:paraId="7C4C85ED" w14:textId="77777777" w:rsidR="007330B9" w:rsidRDefault="00000000">
      <w:pPr>
        <w:numPr>
          <w:ilvl w:val="0"/>
          <w:numId w:val="8"/>
        </w:numPr>
      </w:pPr>
      <w:r>
        <w:t>Integrazione tra ricerca educativa e pratica didattica</w:t>
      </w:r>
    </w:p>
    <w:p w14:paraId="1EBAD407" w14:textId="77777777" w:rsidR="007330B9" w:rsidRDefault="00000000">
      <w:pPr>
        <w:numPr>
          <w:ilvl w:val="0"/>
          <w:numId w:val="8"/>
        </w:numPr>
      </w:pPr>
      <w:r>
        <w:t>Revisioni sistematiche e metanalisi in ambito educativo</w:t>
      </w:r>
    </w:p>
    <w:p w14:paraId="0064DEFF" w14:textId="77777777" w:rsidR="007330B9" w:rsidRDefault="00000000">
      <w:pPr>
        <w:numPr>
          <w:ilvl w:val="0"/>
          <w:numId w:val="8"/>
        </w:numPr>
      </w:pPr>
      <w:r>
        <w:t>Strumenti e metodologie per la raccolta di evidenze</w:t>
      </w:r>
    </w:p>
    <w:p w14:paraId="38CB96EF" w14:textId="77777777" w:rsidR="007330B9" w:rsidRDefault="00000000">
      <w:pPr>
        <w:numPr>
          <w:ilvl w:val="0"/>
          <w:numId w:val="8"/>
        </w:numPr>
        <w:spacing w:after="240"/>
      </w:pPr>
      <w:r>
        <w:t xml:space="preserve">Strategie didattiche </w:t>
      </w:r>
      <w:proofErr w:type="spellStart"/>
      <w:r>
        <w:rPr>
          <w:i/>
        </w:rPr>
        <w:t>evidence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based</w:t>
      </w:r>
      <w:proofErr w:type="spellEnd"/>
    </w:p>
    <w:p w14:paraId="756A0E70" w14:textId="77777777" w:rsidR="007330B9" w:rsidRDefault="00000000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heading=h.qtovb98n97nf" w:colFirst="0" w:colLast="0"/>
      <w:bookmarkEnd w:id="3"/>
      <w:r>
        <w:rPr>
          <w:b/>
          <w:color w:val="000000"/>
          <w:sz w:val="26"/>
          <w:szCs w:val="26"/>
        </w:rPr>
        <w:t>2. Didattica universitaria e Bisogni Educativi Speciali</w:t>
      </w:r>
    </w:p>
    <w:p w14:paraId="00B8CF16" w14:textId="77777777" w:rsidR="007330B9" w:rsidRDefault="00000000">
      <w:pPr>
        <w:numPr>
          <w:ilvl w:val="0"/>
          <w:numId w:val="2"/>
        </w:numPr>
        <w:spacing w:before="240"/>
      </w:pPr>
      <w:r>
        <w:lastRenderedPageBreak/>
        <w:t>Strategie didattiche inclusive per studenti e studentesse con disabilità, DSA o altro BES</w:t>
      </w:r>
    </w:p>
    <w:p w14:paraId="4CED1DCA" w14:textId="77777777" w:rsidR="007330B9" w:rsidRDefault="00000000">
      <w:pPr>
        <w:numPr>
          <w:ilvl w:val="0"/>
          <w:numId w:val="2"/>
        </w:numPr>
      </w:pPr>
      <w:r>
        <w:t>Strumenti compensativi e tecnologie assistive per studenti e studentesse con disabilità, DSA o altro BES</w:t>
      </w:r>
    </w:p>
    <w:p w14:paraId="3F9C9AF6" w14:textId="77777777" w:rsidR="007330B9" w:rsidRDefault="00000000">
      <w:pPr>
        <w:numPr>
          <w:ilvl w:val="0"/>
          <w:numId w:val="2"/>
        </w:numPr>
        <w:spacing w:after="240"/>
      </w:pPr>
      <w:r>
        <w:t>Personalizzazione dell'apprendimento nella formazione universitaria</w:t>
      </w:r>
    </w:p>
    <w:p w14:paraId="75F1A6BB" w14:textId="77777777" w:rsidR="007330B9" w:rsidRDefault="00000000">
      <w:pPr>
        <w:spacing w:before="240" w:after="240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>. Formazione dei docenti universitari</w:t>
      </w:r>
    </w:p>
    <w:p w14:paraId="52964C31" w14:textId="77777777" w:rsidR="007330B9" w:rsidRDefault="00000000">
      <w:pPr>
        <w:numPr>
          <w:ilvl w:val="0"/>
          <w:numId w:val="11"/>
        </w:numPr>
        <w:spacing w:before="240"/>
      </w:pPr>
      <w:r>
        <w:t>Modelli di sviluppo professionale per docenti universitari</w:t>
      </w:r>
    </w:p>
    <w:p w14:paraId="6AF5E22B" w14:textId="77777777" w:rsidR="007330B9" w:rsidRDefault="00000000">
      <w:pPr>
        <w:numPr>
          <w:ilvl w:val="0"/>
          <w:numId w:val="11"/>
        </w:numPr>
      </w:pPr>
      <w:r>
        <w:t>Competenze pedagogiche e didattiche dei docenti universitari</w:t>
      </w:r>
    </w:p>
    <w:p w14:paraId="75F27AD0" w14:textId="77777777" w:rsidR="007330B9" w:rsidRDefault="00000000">
      <w:pPr>
        <w:numPr>
          <w:ilvl w:val="0"/>
          <w:numId w:val="11"/>
        </w:numPr>
      </w:pPr>
      <w:r>
        <w:t>Valutazione delle competenze didattiche dei docenti universitari</w:t>
      </w:r>
    </w:p>
    <w:p w14:paraId="725E6CAE" w14:textId="77777777" w:rsidR="007330B9" w:rsidRDefault="00000000">
      <w:pPr>
        <w:numPr>
          <w:ilvl w:val="0"/>
          <w:numId w:val="11"/>
        </w:numPr>
        <w:spacing w:after="240"/>
      </w:pPr>
      <w:r>
        <w:t xml:space="preserve">Programmi di formazione dei docenti universitari nella didattica inclusiva, innovativa ed </w:t>
      </w:r>
      <w:proofErr w:type="spellStart"/>
      <w:r>
        <w:t>evidence-based</w:t>
      </w:r>
      <w:proofErr w:type="spellEnd"/>
    </w:p>
    <w:p w14:paraId="2B7C3770" w14:textId="77777777" w:rsidR="007330B9" w:rsidRDefault="00000000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heading=h.tkdl878t4sds" w:colFirst="0" w:colLast="0"/>
      <w:bookmarkEnd w:id="4"/>
      <w:r>
        <w:rPr>
          <w:b/>
          <w:color w:val="000000"/>
          <w:sz w:val="26"/>
          <w:szCs w:val="26"/>
        </w:rPr>
        <w:t>4. Tecnologie digitali e apprendimento nel contesto universitario</w:t>
      </w:r>
    </w:p>
    <w:p w14:paraId="576790A3" w14:textId="77777777" w:rsidR="007330B9" w:rsidRDefault="00000000">
      <w:pPr>
        <w:numPr>
          <w:ilvl w:val="0"/>
          <w:numId w:val="6"/>
        </w:numPr>
        <w:spacing w:before="240"/>
      </w:pPr>
      <w:r>
        <w:t>Tecnologie digitali come mediatori didattici e facilitatori dell’apprendimento universitario</w:t>
      </w:r>
    </w:p>
    <w:p w14:paraId="3B24ABF6" w14:textId="77777777" w:rsidR="007330B9" w:rsidRDefault="00000000">
      <w:pPr>
        <w:numPr>
          <w:ilvl w:val="0"/>
          <w:numId w:val="6"/>
        </w:numPr>
      </w:pPr>
      <w:r>
        <w:t>Personalizzazione dell'apprendimento attraverso le tecnologie digitali</w:t>
      </w:r>
    </w:p>
    <w:p w14:paraId="08E5C1AE" w14:textId="77777777" w:rsidR="007330B9" w:rsidRDefault="00000000">
      <w:pPr>
        <w:numPr>
          <w:ilvl w:val="0"/>
          <w:numId w:val="6"/>
        </w:numPr>
        <w:spacing w:after="240"/>
      </w:pPr>
      <w:r>
        <w:t>Applicazioni dell'intelligenza artificiale nella didattica universitaria inclusiva</w:t>
      </w:r>
    </w:p>
    <w:p w14:paraId="7143E45C" w14:textId="77777777" w:rsidR="007330B9" w:rsidRDefault="00000000">
      <w:pPr>
        <w:pStyle w:val="Titolo2"/>
        <w:keepNext w:val="0"/>
        <w:keepLines w:val="0"/>
        <w:spacing w:after="80"/>
        <w:rPr>
          <w:b/>
          <w:sz w:val="28"/>
          <w:szCs w:val="28"/>
        </w:rPr>
      </w:pPr>
      <w:bookmarkStart w:id="5" w:name="_heading=h.esylrt5nq24t" w:colFirst="0" w:colLast="0"/>
      <w:bookmarkEnd w:id="5"/>
      <w:r>
        <w:rPr>
          <w:b/>
          <w:sz w:val="28"/>
          <w:szCs w:val="28"/>
        </w:rPr>
        <w:t>Modalità di partecipazione</w:t>
      </w:r>
    </w:p>
    <w:p w14:paraId="549C8772" w14:textId="77777777" w:rsidR="007330B9" w:rsidRDefault="00000000">
      <w:pPr>
        <w:spacing w:before="240" w:after="240"/>
      </w:pPr>
      <w:r>
        <w:t>I proponenti dovranno inviare un abstract di massimo 2000 caratteri spazi inclusi che includa:</w:t>
      </w:r>
    </w:p>
    <w:p w14:paraId="1404FB28" w14:textId="77777777" w:rsidR="007330B9" w:rsidRDefault="00000000">
      <w:pPr>
        <w:numPr>
          <w:ilvl w:val="0"/>
          <w:numId w:val="7"/>
        </w:numPr>
        <w:spacing w:before="240"/>
      </w:pPr>
      <w:r>
        <w:rPr>
          <w:b/>
        </w:rPr>
        <w:t xml:space="preserve">Titolo </w:t>
      </w:r>
      <w:r>
        <w:t>(in italiano e in inglese)</w:t>
      </w:r>
    </w:p>
    <w:p w14:paraId="1E23DFBC" w14:textId="320AA145" w:rsidR="007330B9" w:rsidRDefault="00000000">
      <w:pPr>
        <w:numPr>
          <w:ilvl w:val="0"/>
          <w:numId w:val="7"/>
        </w:numPr>
        <w:spacing w:after="240"/>
        <w:rPr>
          <w:b/>
        </w:rPr>
      </w:pPr>
      <w:r>
        <w:rPr>
          <w:b/>
        </w:rPr>
        <w:t>Parole chiave</w:t>
      </w:r>
      <w:r>
        <w:t xml:space="preserve">: 5 parole chiave che identifichino il contributo </w:t>
      </w:r>
      <w:r w:rsidR="001C2C1D">
        <w:t>(</w:t>
      </w:r>
      <w:r>
        <w:t>in italiano e in inglese</w:t>
      </w:r>
      <w:r w:rsidR="001C2C1D">
        <w:t>)</w:t>
      </w:r>
    </w:p>
    <w:p w14:paraId="614AFD98" w14:textId="77777777" w:rsidR="007330B9" w:rsidRDefault="00000000">
      <w:pPr>
        <w:spacing w:after="240"/>
        <w:rPr>
          <w:b/>
        </w:rPr>
      </w:pPr>
      <w:r>
        <w:rPr>
          <w:b/>
        </w:rPr>
        <w:t>Per Ricerche empiriche e revisioni sistematiche:</w:t>
      </w:r>
    </w:p>
    <w:p w14:paraId="14EFA94E" w14:textId="77777777" w:rsidR="007330B9" w:rsidRDefault="00000000">
      <w:pPr>
        <w:numPr>
          <w:ilvl w:val="0"/>
          <w:numId w:val="1"/>
        </w:numPr>
        <w:spacing w:before="240"/>
      </w:pPr>
      <w:r>
        <w:rPr>
          <w:b/>
        </w:rPr>
        <w:t>Quadro teorico:</w:t>
      </w:r>
      <w:r>
        <w:t xml:space="preserve"> riferimenti teorico-culturali ed epistemologici in relazione alla letteratura nazionale e internazionale</w:t>
      </w:r>
    </w:p>
    <w:p w14:paraId="493EDD31" w14:textId="77777777" w:rsidR="007330B9" w:rsidRDefault="00000000">
      <w:pPr>
        <w:numPr>
          <w:ilvl w:val="0"/>
          <w:numId w:val="1"/>
        </w:numPr>
      </w:pPr>
      <w:r>
        <w:rPr>
          <w:b/>
        </w:rPr>
        <w:t>Metodologia, obiettivi e contesto:</w:t>
      </w:r>
      <w:r>
        <w:t xml:space="preserve"> approccio metodologico adottato, domanda e obiettivi di ricerca, eventuali strumenti di rilevazione dei dati</w:t>
      </w:r>
    </w:p>
    <w:p w14:paraId="0BB88210" w14:textId="77777777" w:rsidR="007330B9" w:rsidRDefault="00000000">
      <w:pPr>
        <w:numPr>
          <w:ilvl w:val="0"/>
          <w:numId w:val="1"/>
        </w:numPr>
      </w:pPr>
      <w:r>
        <w:rPr>
          <w:b/>
        </w:rPr>
        <w:t>Risultati:</w:t>
      </w:r>
      <w:r>
        <w:t xml:space="preserve"> risultati attesi/ottenuti e principali evidenze emerse</w:t>
      </w:r>
    </w:p>
    <w:p w14:paraId="40624A72" w14:textId="77777777" w:rsidR="007330B9" w:rsidRDefault="007330B9"/>
    <w:p w14:paraId="15CEDED1" w14:textId="77777777" w:rsidR="007330B9" w:rsidRDefault="00000000">
      <w:pPr>
        <w:rPr>
          <w:b/>
        </w:rPr>
      </w:pPr>
      <w:r>
        <w:rPr>
          <w:b/>
        </w:rPr>
        <w:t>Per Esperienze innovative e contributi teorici:</w:t>
      </w:r>
    </w:p>
    <w:p w14:paraId="3C46C4E1" w14:textId="77777777" w:rsidR="007330B9" w:rsidRDefault="00000000">
      <w:pPr>
        <w:numPr>
          <w:ilvl w:val="0"/>
          <w:numId w:val="10"/>
        </w:numPr>
        <w:spacing w:before="240"/>
      </w:pPr>
      <w:r>
        <w:rPr>
          <w:b/>
        </w:rPr>
        <w:t>Contestualizzazione teorica:</w:t>
      </w:r>
      <w:r>
        <w:t xml:space="preserve"> riferimenti teorico-culturali ed epistemologici di riferimento</w:t>
      </w:r>
    </w:p>
    <w:p w14:paraId="01FBB420" w14:textId="77777777" w:rsidR="007330B9" w:rsidRDefault="00000000">
      <w:pPr>
        <w:numPr>
          <w:ilvl w:val="0"/>
          <w:numId w:val="10"/>
        </w:numPr>
      </w:pPr>
      <w:r>
        <w:rPr>
          <w:b/>
        </w:rPr>
        <w:t xml:space="preserve">Descrizione del contesto e delle strategie didattiche utilizzate/proposte </w:t>
      </w:r>
    </w:p>
    <w:p w14:paraId="3039CE92" w14:textId="77777777" w:rsidR="007330B9" w:rsidRDefault="00000000">
      <w:pPr>
        <w:numPr>
          <w:ilvl w:val="0"/>
          <w:numId w:val="10"/>
        </w:numPr>
        <w:spacing w:after="240"/>
      </w:pPr>
      <w:r>
        <w:rPr>
          <w:b/>
        </w:rPr>
        <w:t>Risultati/Riflessioni:</w:t>
      </w:r>
      <w:r>
        <w:t xml:space="preserve"> per le esperienze, valutazione degli esiti; per i contributi teorici, principali contenuti e implicazioni per la didattica universitaria</w:t>
      </w:r>
    </w:p>
    <w:p w14:paraId="34B6918E" w14:textId="77777777" w:rsidR="007330B9" w:rsidRDefault="007330B9">
      <w:pPr>
        <w:spacing w:after="240"/>
      </w:pPr>
    </w:p>
    <w:p w14:paraId="5AFACF3F" w14:textId="77777777" w:rsidR="007330B9" w:rsidRDefault="00000000">
      <w:pPr>
        <w:spacing w:after="240"/>
        <w:rPr>
          <w:sz w:val="26"/>
          <w:szCs w:val="26"/>
        </w:rPr>
      </w:pPr>
      <w:r>
        <w:rPr>
          <w:b/>
          <w:sz w:val="26"/>
          <w:szCs w:val="26"/>
        </w:rPr>
        <w:t>Modulo per invio proposta</w:t>
      </w:r>
      <w:r>
        <w:rPr>
          <w:sz w:val="26"/>
          <w:szCs w:val="26"/>
        </w:rPr>
        <w:t xml:space="preserve">: </w:t>
      </w:r>
      <w:hyperlink r:id="rId6">
        <w:r w:rsidR="007330B9">
          <w:rPr>
            <w:color w:val="1155CC"/>
            <w:sz w:val="26"/>
            <w:szCs w:val="26"/>
            <w:u w:val="single"/>
          </w:rPr>
          <w:t>https://tinyurl.com/3f7ck2mc</w:t>
        </w:r>
      </w:hyperlink>
    </w:p>
    <w:p w14:paraId="62ED9BD8" w14:textId="77777777" w:rsidR="007330B9" w:rsidRDefault="00000000">
      <w:pPr>
        <w:pStyle w:val="Titolo2"/>
        <w:keepNext w:val="0"/>
        <w:keepLines w:val="0"/>
        <w:spacing w:after="80"/>
        <w:rPr>
          <w:b/>
          <w:sz w:val="28"/>
          <w:szCs w:val="28"/>
        </w:rPr>
      </w:pPr>
      <w:bookmarkStart w:id="6" w:name="_heading=h.n59sktt0fwtt" w:colFirst="0" w:colLast="0"/>
      <w:bookmarkEnd w:id="6"/>
      <w:r>
        <w:rPr>
          <w:b/>
          <w:sz w:val="28"/>
          <w:szCs w:val="28"/>
        </w:rPr>
        <w:lastRenderedPageBreak/>
        <w:t>Criteri di valutazione</w:t>
      </w:r>
    </w:p>
    <w:p w14:paraId="5080A641" w14:textId="77777777" w:rsidR="007330B9" w:rsidRDefault="00000000">
      <w:pPr>
        <w:spacing w:before="240" w:after="240"/>
        <w:jc w:val="both"/>
      </w:pPr>
      <w:r>
        <w:t>I poster saranno valutati sulla base della pertinenza alle aree tematiche dell’evento, dell’originalità, del rigore metodologico del contributo, nonché del suo valore per l’avanzamento del dibattito scientifico e per le potenziali ricadute in ambito didattico.</w:t>
      </w:r>
    </w:p>
    <w:p w14:paraId="7276DDF5" w14:textId="77777777" w:rsidR="007330B9" w:rsidRDefault="00000000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Pubblicazione</w:t>
      </w:r>
    </w:p>
    <w:p w14:paraId="552DF1BE" w14:textId="77777777" w:rsidR="007330B9" w:rsidRDefault="00000000">
      <w:pPr>
        <w:spacing w:before="240" w:after="240"/>
        <w:jc w:val="both"/>
      </w:pPr>
      <w:r>
        <w:t>I partecipanti alla sessione poster potranno proporre un contributo per la pubblicazione nel volume con ISBN edito da Sapienza Università Editrice sui temi dell'evento, promosso e curato dal Gruppo Qualità e Innovazione Didattica (</w:t>
      </w:r>
      <w:proofErr w:type="spellStart"/>
      <w:r>
        <w:t>QuID</w:t>
      </w:r>
      <w:proofErr w:type="spellEnd"/>
      <w:r>
        <w:t>). I contributi saranno sottoposti a processo di double-blind peer review da parte del comitato scientifico. Le modalità e i termini per la sottomissione dei contributi per il volume saranno comunicate successivamente.</w:t>
      </w:r>
    </w:p>
    <w:p w14:paraId="5E9FFC09" w14:textId="77777777" w:rsidR="007330B9" w:rsidRDefault="00CB35A9">
      <w:r>
        <w:rPr>
          <w:noProof/>
        </w:rPr>
        <w:pict w14:anchorId="258CD1DC">
          <v:rect id="_x0000_i1029" alt="" style="width:423.1pt;height:.05pt;mso-width-percent:0;mso-height-percent:0;mso-width-percent:0;mso-height-percent:0" o:hrpct="878" o:hralign="center" o:hrstd="t" o:hr="t" fillcolor="#a0a0a0" stroked="f"/>
        </w:pict>
      </w:r>
    </w:p>
    <w:p w14:paraId="3A94C255" w14:textId="77777777" w:rsidR="007330B9" w:rsidRDefault="00000000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heading=h.ez3y9td91vn1" w:colFirst="0" w:colLast="0"/>
      <w:bookmarkEnd w:id="7"/>
      <w:r>
        <w:rPr>
          <w:b/>
          <w:color w:val="000000"/>
          <w:sz w:val="26"/>
          <w:szCs w:val="26"/>
        </w:rPr>
        <w:t>Formato del poster</w:t>
      </w:r>
    </w:p>
    <w:p w14:paraId="77F00148" w14:textId="77777777" w:rsidR="007330B9" w:rsidRDefault="00000000">
      <w:pPr>
        <w:numPr>
          <w:ilvl w:val="0"/>
          <w:numId w:val="9"/>
        </w:numPr>
        <w:spacing w:before="240"/>
      </w:pPr>
      <w:r>
        <w:t>Dimensioni: A0 (84,1 × 118,9 cm) orientamento verticale</w:t>
      </w:r>
    </w:p>
    <w:p w14:paraId="4D6E0F28" w14:textId="77777777" w:rsidR="007330B9" w:rsidRDefault="00000000">
      <w:pPr>
        <w:numPr>
          <w:ilvl w:val="0"/>
          <w:numId w:val="9"/>
        </w:numPr>
        <w:spacing w:after="240"/>
      </w:pPr>
      <w:r>
        <w:t>La stampa è a cura del proponente</w:t>
      </w:r>
    </w:p>
    <w:p w14:paraId="12484FDE" w14:textId="77777777" w:rsidR="007330B9" w:rsidRDefault="00CB35A9">
      <w:r>
        <w:rPr>
          <w:noProof/>
        </w:rPr>
        <w:pict w14:anchorId="265BB878">
          <v:rect id="_x0000_i1028" alt="" style="width:423.1pt;height:.05pt;mso-width-percent:0;mso-height-percent:0;mso-width-percent:0;mso-height-percent:0" o:hrpct="878" o:hralign="center" o:hrstd="t" o:hr="t" fillcolor="#a0a0a0" stroked="f"/>
        </w:pict>
      </w:r>
    </w:p>
    <w:p w14:paraId="7B2CC56C" w14:textId="77777777" w:rsidR="007330B9" w:rsidRDefault="00000000">
      <w:pPr>
        <w:pStyle w:val="Titolo2"/>
        <w:keepNext w:val="0"/>
        <w:keepLines w:val="0"/>
        <w:spacing w:after="80"/>
        <w:rPr>
          <w:b/>
          <w:sz w:val="34"/>
          <w:szCs w:val="34"/>
        </w:rPr>
      </w:pPr>
      <w:bookmarkStart w:id="8" w:name="_heading=h.8iufpexrzh8" w:colFirst="0" w:colLast="0"/>
      <w:bookmarkEnd w:id="8"/>
      <w:r>
        <w:rPr>
          <w:b/>
          <w:sz w:val="34"/>
          <w:szCs w:val="34"/>
        </w:rPr>
        <w:t>Scadenze e calendario</w:t>
      </w:r>
    </w:p>
    <w:tbl>
      <w:tblPr>
        <w:tblStyle w:val="a0"/>
        <w:tblW w:w="91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775"/>
        <w:gridCol w:w="6375"/>
      </w:tblGrid>
      <w:tr w:rsidR="007330B9" w14:paraId="34C26A58" w14:textId="77777777">
        <w:trPr>
          <w:trHeight w:val="515"/>
        </w:trPr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AEE6" w14:textId="77777777" w:rsidR="007330B9" w:rsidRDefault="00000000">
            <w:r>
              <w:rPr>
                <w:b/>
              </w:rPr>
              <w:t>Data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8B8B3" w14:textId="77777777" w:rsidR="007330B9" w:rsidRDefault="00000000">
            <w:r>
              <w:rPr>
                <w:b/>
              </w:rPr>
              <w:t>Milestone</w:t>
            </w:r>
          </w:p>
        </w:tc>
      </w:tr>
      <w:tr w:rsidR="007330B9" w14:paraId="313A5C28" w14:textId="77777777">
        <w:trPr>
          <w:trHeight w:val="515"/>
        </w:trPr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781B" w14:textId="77777777" w:rsidR="007330B9" w:rsidRDefault="00000000">
            <w:r>
              <w:rPr>
                <w:b/>
              </w:rPr>
              <w:t>25 luglio 2025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57E2" w14:textId="77777777" w:rsidR="007330B9" w:rsidRDefault="00000000">
            <w:r>
              <w:t>Termine per l’invio degli abstract dei poster tramite form</w:t>
            </w:r>
          </w:p>
        </w:tc>
      </w:tr>
      <w:tr w:rsidR="007330B9" w14:paraId="1B6AAB40" w14:textId="77777777">
        <w:trPr>
          <w:trHeight w:val="515"/>
        </w:trPr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4951" w14:textId="77777777" w:rsidR="007330B9" w:rsidRDefault="00000000">
            <w:r>
              <w:rPr>
                <w:b/>
              </w:rPr>
              <w:t>31 luglio 2025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F79A7" w14:textId="77777777" w:rsidR="007330B9" w:rsidRDefault="00000000">
            <w:r>
              <w:t>Comunicazione esiti valutazione</w:t>
            </w:r>
          </w:p>
        </w:tc>
      </w:tr>
      <w:tr w:rsidR="007330B9" w14:paraId="241644C8" w14:textId="77777777">
        <w:trPr>
          <w:trHeight w:val="515"/>
        </w:trPr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76D6" w14:textId="77777777" w:rsidR="007330B9" w:rsidRDefault="00000000">
            <w:r>
              <w:rPr>
                <w:b/>
              </w:rPr>
              <w:t>19 settembre 2025</w:t>
            </w:r>
          </w:p>
        </w:tc>
        <w:tc>
          <w:tcPr>
            <w:tcW w:w="6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DF9D" w14:textId="77777777" w:rsidR="007330B9" w:rsidRDefault="00000000">
            <w:r>
              <w:t>Presentazione poster durante l'evento</w:t>
            </w:r>
          </w:p>
        </w:tc>
      </w:tr>
    </w:tbl>
    <w:p w14:paraId="05596FB9" w14:textId="77777777" w:rsidR="007330B9" w:rsidRDefault="00CB35A9">
      <w:r>
        <w:rPr>
          <w:noProof/>
        </w:rPr>
        <w:pict w14:anchorId="27C09B60">
          <v:rect id="_x0000_i1027" alt="" style="width:423.1pt;height:.05pt;mso-width-percent:0;mso-height-percent:0;mso-width-percent:0;mso-height-percent:0" o:hrpct="878" o:hralign="center" o:hrstd="t" o:hr="t" fillcolor="#a0a0a0" stroked="f"/>
        </w:pict>
      </w:r>
    </w:p>
    <w:p w14:paraId="531FAF1F" w14:textId="77777777" w:rsidR="007330B9" w:rsidRDefault="007330B9"/>
    <w:p w14:paraId="018E2AD5" w14:textId="77777777" w:rsidR="007330B9" w:rsidRDefault="00000000">
      <w:pPr>
        <w:pStyle w:val="Titolo2"/>
        <w:keepNext w:val="0"/>
        <w:keepLines w:val="0"/>
        <w:spacing w:after="80"/>
        <w:rPr>
          <w:b/>
          <w:sz w:val="34"/>
          <w:szCs w:val="34"/>
        </w:rPr>
      </w:pPr>
      <w:bookmarkStart w:id="9" w:name="_heading=h.8o5qc9605f9f" w:colFirst="0" w:colLast="0"/>
      <w:bookmarkEnd w:id="9"/>
      <w:r>
        <w:rPr>
          <w:b/>
          <w:sz w:val="34"/>
          <w:szCs w:val="34"/>
        </w:rPr>
        <w:t>Comitato scientifico</w:t>
      </w:r>
    </w:p>
    <w:p w14:paraId="460DD671" w14:textId="004052DE" w:rsidR="007330B9" w:rsidRPr="000D2BB3" w:rsidRDefault="00000000">
      <w:r w:rsidRPr="000D2BB3">
        <w:t>Donatella Cesareni, Fabrizio Consorti, Elisabetta Corsi, Emidio Spinelli, Marianna Traversetti</w:t>
      </w:r>
    </w:p>
    <w:p w14:paraId="1BE87536" w14:textId="77777777" w:rsidR="007330B9" w:rsidRPr="000D2BB3" w:rsidRDefault="00CB35A9">
      <w:r>
        <w:rPr>
          <w:noProof/>
        </w:rPr>
        <w:pict w14:anchorId="23158C2A">
          <v:rect id="_x0000_i1026" alt="" style="width:423.1pt;height:.05pt;mso-width-percent:0;mso-height-percent:0;mso-width-percent:0;mso-height-percent:0" o:hrpct="878" o:hralign="center" o:hrstd="t" o:hr="t" fillcolor="#a0a0a0" stroked="f"/>
        </w:pict>
      </w:r>
    </w:p>
    <w:p w14:paraId="3FE5547C" w14:textId="77777777" w:rsidR="007330B9" w:rsidRPr="000D2BB3" w:rsidRDefault="007330B9"/>
    <w:p w14:paraId="5BE6F7E8" w14:textId="77777777" w:rsidR="007330B9" w:rsidRPr="000D2BB3" w:rsidRDefault="00000000">
      <w:pPr>
        <w:rPr>
          <w:b/>
          <w:sz w:val="34"/>
          <w:szCs w:val="34"/>
        </w:rPr>
      </w:pPr>
      <w:r w:rsidRPr="000D2BB3">
        <w:rPr>
          <w:b/>
          <w:sz w:val="34"/>
          <w:szCs w:val="34"/>
        </w:rPr>
        <w:t>Comitato organizzativo</w:t>
      </w:r>
    </w:p>
    <w:p w14:paraId="46C15779" w14:textId="417361A8" w:rsidR="007330B9" w:rsidRDefault="00000000">
      <w:pPr>
        <w:rPr>
          <w:b/>
          <w:sz w:val="34"/>
          <w:szCs w:val="34"/>
        </w:rPr>
      </w:pPr>
      <w:r w:rsidRPr="000D2BB3">
        <w:t xml:space="preserve">Ilaria Bortolotti, Donatella Cesareni, Claudia </w:t>
      </w:r>
      <w:proofErr w:type="spellStart"/>
      <w:r w:rsidRPr="000D2BB3">
        <w:t>Dirodi</w:t>
      </w:r>
      <w:proofErr w:type="spellEnd"/>
      <w:r w:rsidRPr="000D2BB3">
        <w:t xml:space="preserve">, Arianna </w:t>
      </w:r>
      <w:proofErr w:type="spellStart"/>
      <w:r w:rsidRPr="000D2BB3">
        <w:t>Monniello</w:t>
      </w:r>
      <w:proofErr w:type="spellEnd"/>
      <w:r w:rsidRPr="000D2BB3">
        <w:t>, Alessandra Natalini, Marianna Traversetti</w:t>
      </w:r>
    </w:p>
    <w:p w14:paraId="02458EC8" w14:textId="77777777" w:rsidR="007330B9" w:rsidRDefault="00000000">
      <w:pPr>
        <w:pStyle w:val="Titolo2"/>
        <w:keepNext w:val="0"/>
        <w:keepLines w:val="0"/>
        <w:spacing w:after="80"/>
        <w:rPr>
          <w:b/>
          <w:sz w:val="34"/>
          <w:szCs w:val="34"/>
        </w:rPr>
      </w:pPr>
      <w:bookmarkStart w:id="10" w:name="_heading=h.i2uvcvcrgdcf" w:colFirst="0" w:colLast="0"/>
      <w:bookmarkEnd w:id="10"/>
      <w:r>
        <w:rPr>
          <w:b/>
          <w:sz w:val="34"/>
          <w:szCs w:val="34"/>
        </w:rPr>
        <w:lastRenderedPageBreak/>
        <w:t>Contatti e informazioni</w:t>
      </w:r>
    </w:p>
    <w:p w14:paraId="41834F9F" w14:textId="77777777" w:rsidR="007330B9" w:rsidRDefault="00000000">
      <w:pPr>
        <w:spacing w:before="240" w:after="240"/>
      </w:pPr>
      <w:r>
        <w:t>Per ulteriori informazioni:</w:t>
      </w:r>
    </w:p>
    <w:p w14:paraId="65924CBF" w14:textId="28815EA6" w:rsidR="007330B9" w:rsidRDefault="00000000">
      <w:pPr>
        <w:numPr>
          <w:ilvl w:val="0"/>
          <w:numId w:val="3"/>
        </w:numPr>
        <w:spacing w:before="240" w:after="240"/>
        <w:rPr>
          <w:lang w:val="it-IT"/>
        </w:rPr>
      </w:pPr>
      <w:r w:rsidRPr="00360EF0">
        <w:rPr>
          <w:lang w:val="it-IT"/>
        </w:rPr>
        <w:t xml:space="preserve">Email: </w:t>
      </w:r>
      <w:hyperlink r:id="rId7">
        <w:r w:rsidR="007330B9" w:rsidRPr="00360EF0">
          <w:rPr>
            <w:color w:val="1155CC"/>
            <w:u w:val="single"/>
            <w:lang w:val="it-IT"/>
          </w:rPr>
          <w:t>ilaria.bortolotti@uniroma.it</w:t>
        </w:r>
      </w:hyperlink>
      <w:r w:rsidRPr="00360EF0">
        <w:rPr>
          <w:lang w:val="it-IT"/>
        </w:rPr>
        <w:t xml:space="preserve"> o </w:t>
      </w:r>
      <w:hyperlink r:id="rId8">
        <w:r w:rsidR="007330B9" w:rsidRPr="00360EF0">
          <w:rPr>
            <w:color w:val="1155CC"/>
            <w:u w:val="single"/>
            <w:lang w:val="it-IT"/>
          </w:rPr>
          <w:t>arianna.monniello@uniroma1.it</w:t>
        </w:r>
      </w:hyperlink>
      <w:r w:rsidR="00360EF0" w:rsidRPr="00360EF0">
        <w:rPr>
          <w:lang w:val="it-IT"/>
        </w:rPr>
        <w:t xml:space="preserve"> o </w:t>
      </w:r>
      <w:hyperlink r:id="rId9" w:history="1">
        <w:r w:rsidR="00360EF0" w:rsidRPr="00F107C2">
          <w:rPr>
            <w:rStyle w:val="Collegamentoipertestuale"/>
            <w:lang w:val="it-IT"/>
          </w:rPr>
          <w:t>alessandra.natalini@uniroma1.it</w:t>
        </w:r>
      </w:hyperlink>
    </w:p>
    <w:p w14:paraId="31EFA982" w14:textId="77777777" w:rsidR="00360EF0" w:rsidRPr="00360EF0" w:rsidRDefault="00360EF0" w:rsidP="00360EF0">
      <w:pPr>
        <w:spacing w:before="240" w:after="240"/>
        <w:ind w:left="720"/>
        <w:rPr>
          <w:lang w:val="it-IT"/>
        </w:rPr>
      </w:pPr>
    </w:p>
    <w:p w14:paraId="38971EE4" w14:textId="77777777" w:rsidR="007330B9" w:rsidRDefault="00CB35A9">
      <w:r>
        <w:rPr>
          <w:noProof/>
        </w:rPr>
        <w:pict w14:anchorId="0CAEFC61">
          <v:rect id="_x0000_i1025" alt="" style="width:423.1pt;height:.05pt;mso-width-percent:0;mso-height-percent:0;mso-width-percent:0;mso-height-percent:0" o:hrpct="878" o:hralign="center" o:hrstd="t" o:hr="t" fillcolor="#a0a0a0" stroked="f"/>
        </w:pict>
      </w:r>
    </w:p>
    <w:p w14:paraId="1888F310" w14:textId="23F8C23F" w:rsidR="007330B9" w:rsidRDefault="00000000">
      <w:pPr>
        <w:pStyle w:val="Titolo2"/>
        <w:keepNext w:val="0"/>
        <w:keepLines w:val="0"/>
        <w:spacing w:after="80"/>
        <w:rPr>
          <w:b/>
          <w:sz w:val="34"/>
          <w:szCs w:val="34"/>
        </w:rPr>
      </w:pPr>
      <w:bookmarkStart w:id="11" w:name="_heading=h.bxa1el79ly6d" w:colFirst="0" w:colLast="0"/>
      <w:bookmarkEnd w:id="11"/>
      <w:r>
        <w:rPr>
          <w:b/>
          <w:sz w:val="34"/>
          <w:szCs w:val="34"/>
        </w:rPr>
        <w:t xml:space="preserve"> </w:t>
      </w:r>
      <w:r w:rsidR="00BE430E">
        <w:rPr>
          <w:b/>
          <w:sz w:val="34"/>
          <w:szCs w:val="34"/>
        </w:rPr>
        <w:t>Riferimenti bibliografici</w:t>
      </w:r>
    </w:p>
    <w:p w14:paraId="620A84CC" w14:textId="6BB1FB5E" w:rsidR="00BE430E" w:rsidRDefault="00BE430E" w:rsidP="00BE430E">
      <w:r>
        <w:t xml:space="preserve">È possibile, per approfondimenti, visitare il sito: </w:t>
      </w:r>
      <w:hyperlink r:id="rId10" w:history="1">
        <w:r w:rsidR="00702F75" w:rsidRPr="007D2D9F">
          <w:rPr>
            <w:rStyle w:val="Collegamentoipertestuale"/>
          </w:rPr>
          <w:t>https://docs.google.com/forms/d/1Wsn9SvtfxMcetUop9X3cl7YiofeO6pf5oJURPQX5tyc/prefill</w:t>
        </w:r>
      </w:hyperlink>
    </w:p>
    <w:p w14:paraId="3BF034B9" w14:textId="77777777" w:rsidR="00702F75" w:rsidRPr="00BE430E" w:rsidRDefault="00702F75" w:rsidP="00BE430E"/>
    <w:sectPr w:rsidR="00702F75" w:rsidRPr="00BE43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2B92"/>
    <w:multiLevelType w:val="multilevel"/>
    <w:tmpl w:val="6D2CA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661EE8"/>
    <w:multiLevelType w:val="multilevel"/>
    <w:tmpl w:val="BDFC1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567EA0"/>
    <w:multiLevelType w:val="multilevel"/>
    <w:tmpl w:val="68B8D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A079EF"/>
    <w:multiLevelType w:val="multilevel"/>
    <w:tmpl w:val="1CEC0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2A0FFA"/>
    <w:multiLevelType w:val="multilevel"/>
    <w:tmpl w:val="4DA2D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0D1709"/>
    <w:multiLevelType w:val="multilevel"/>
    <w:tmpl w:val="E54C5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8213D1"/>
    <w:multiLevelType w:val="multilevel"/>
    <w:tmpl w:val="F94C5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4F7DB7"/>
    <w:multiLevelType w:val="multilevel"/>
    <w:tmpl w:val="6CD6C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D979E0"/>
    <w:multiLevelType w:val="multilevel"/>
    <w:tmpl w:val="C01A5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836F2B"/>
    <w:multiLevelType w:val="multilevel"/>
    <w:tmpl w:val="34DC3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DB6E45"/>
    <w:multiLevelType w:val="multilevel"/>
    <w:tmpl w:val="256E3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89636">
    <w:abstractNumId w:val="2"/>
  </w:num>
  <w:num w:numId="2" w16cid:durableId="1382050207">
    <w:abstractNumId w:val="1"/>
  </w:num>
  <w:num w:numId="3" w16cid:durableId="227303557">
    <w:abstractNumId w:val="10"/>
  </w:num>
  <w:num w:numId="4" w16cid:durableId="1980575798">
    <w:abstractNumId w:val="7"/>
  </w:num>
  <w:num w:numId="5" w16cid:durableId="1566331821">
    <w:abstractNumId w:val="4"/>
  </w:num>
  <w:num w:numId="6" w16cid:durableId="907228659">
    <w:abstractNumId w:val="9"/>
  </w:num>
  <w:num w:numId="7" w16cid:durableId="2123107278">
    <w:abstractNumId w:val="5"/>
  </w:num>
  <w:num w:numId="8" w16cid:durableId="211616356">
    <w:abstractNumId w:val="3"/>
  </w:num>
  <w:num w:numId="9" w16cid:durableId="1928339342">
    <w:abstractNumId w:val="6"/>
  </w:num>
  <w:num w:numId="10" w16cid:durableId="370110138">
    <w:abstractNumId w:val="0"/>
  </w:num>
  <w:num w:numId="11" w16cid:durableId="1462966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B9"/>
    <w:rsid w:val="000D2BB3"/>
    <w:rsid w:val="001572F5"/>
    <w:rsid w:val="00157F25"/>
    <w:rsid w:val="001B606B"/>
    <w:rsid w:val="001C2C1D"/>
    <w:rsid w:val="00241C64"/>
    <w:rsid w:val="002B7BDC"/>
    <w:rsid w:val="00360EF0"/>
    <w:rsid w:val="00383D8F"/>
    <w:rsid w:val="004F6941"/>
    <w:rsid w:val="00621CF1"/>
    <w:rsid w:val="006B14D7"/>
    <w:rsid w:val="00702F75"/>
    <w:rsid w:val="007330B9"/>
    <w:rsid w:val="009A7F85"/>
    <w:rsid w:val="00A107E8"/>
    <w:rsid w:val="00A52690"/>
    <w:rsid w:val="00B31370"/>
    <w:rsid w:val="00BE430E"/>
    <w:rsid w:val="00C617FB"/>
    <w:rsid w:val="00CB35A9"/>
    <w:rsid w:val="00CF2517"/>
    <w:rsid w:val="00EE1DFA"/>
    <w:rsid w:val="00F27711"/>
    <w:rsid w:val="00F30F13"/>
    <w:rsid w:val="00F925A1"/>
    <w:rsid w:val="00F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042DC"/>
  <w15:docId w15:val="{479C45DF-C7F2-414C-A0E9-C43B59E2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60E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0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na.monniello@uniroma1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laria.bortolotti@uniroma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nyurl.com/3f7ck2m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Wsn9SvtfxMcetUop9X3cl7YiofeO6pf5oJURPQX5tyc/prefil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sandra.natalini@uni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aeJ05AgZMNAz524D2ELsXb1Q/A==">CgMxLjAyDmguaWg4dGF6NDgydHViMg5oLmlqODNvc3F1bjR5dDIOaC5odGZrbmdvcHd3cDIyDmgubXNlaGkyNG52dHVmMg5oLnF0b3ZiOThuOTduZjIOaC50a2RsODc4dDRzZHMyDmguZXN5bHJ0NW5xMjR0Mg5oLm41OXNrdHQwZnd0dDIOaC5lejN5OXRkOTF2bjEyDWguOGl1ZnBleHJ6aDgyDmguOG81cWM5NjA1ZjlmMg5oLmkydXZjdmNyZ2RjZjIOaC5ieGExZWw3OWx5NmQ4AHIhMW1DUTVrcDZRMEZ2cHlMSUhySjlMcFNzY3Z6VUdTMG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Emidio Spinelli</cp:lastModifiedBy>
  <cp:revision>10</cp:revision>
  <dcterms:created xsi:type="dcterms:W3CDTF">2025-07-11T11:19:00Z</dcterms:created>
  <dcterms:modified xsi:type="dcterms:W3CDTF">2025-07-14T18:38:00Z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5f7f44bb-bcd0-43de-9e6f-1f0ed7c67d04</vt:lpwstr>
  </property>
</Properties>
</file>